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31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Додаток А. Реєстраційна форма постачальника/</w:t>
      </w:r>
    </w:p>
    <w:p w:rsidR="00000000" w:rsidDel="00000000" w:rsidP="00000000" w:rsidRDefault="00000000" w:rsidRPr="00000000" w14:paraId="00000002">
      <w:pPr>
        <w:widowControl w:val="0"/>
        <w:spacing w:after="0" w:before="0" w:line="310" w:lineRule="auto"/>
        <w:jc w:val="center"/>
        <w:rPr>
          <w:rFonts w:ascii="Times New Roman" w:cs="Times New Roman" w:eastAsia="Times New Roman" w:hAnsi="Times New Roman"/>
          <w:b w:val="1"/>
          <w:color w:val="7f7f7f"/>
          <w:sz w:val="28"/>
          <w:szCs w:val="28"/>
        </w:rPr>
      </w:pPr>
      <w:r w:rsidDel="00000000" w:rsidR="00000000" w:rsidRPr="00000000">
        <w:rPr>
          <w:rFonts w:ascii="Times New Roman" w:cs="Times New Roman" w:eastAsia="Times New Roman" w:hAnsi="Times New Roman"/>
          <w:b w:val="1"/>
          <w:color w:val="7f7f7f"/>
          <w:sz w:val="28"/>
          <w:szCs w:val="28"/>
          <w:rtl w:val="0"/>
        </w:rPr>
        <w:t xml:space="preserve">Annex A. Supplier registration form</w:t>
      </w:r>
    </w:p>
    <w:p w:rsidR="00000000" w:rsidDel="00000000" w:rsidP="00000000" w:rsidRDefault="00000000" w:rsidRPr="00000000" w14:paraId="00000003">
      <w:pPr>
        <w:widowControl w:val="0"/>
        <w:spacing w:after="0" w:before="0" w:line="266"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widowControl w:val="0"/>
        <w:spacing w:after="0" w:before="0" w:line="26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Пропозиція для Благодійн</w:t>
      </w:r>
      <w:r w:rsidDel="00000000" w:rsidR="00000000" w:rsidRPr="00000000">
        <w:rPr>
          <w:rFonts w:ascii="Times New Roman" w:cs="Times New Roman" w:eastAsia="Times New Roman" w:hAnsi="Times New Roman"/>
          <w:sz w:val="24"/>
          <w:szCs w:val="24"/>
          <w:rtl w:val="0"/>
        </w:rPr>
        <w:t xml:space="preserve">ої</w:t>
      </w:r>
      <w:r w:rsidDel="00000000" w:rsidR="00000000" w:rsidRPr="00000000">
        <w:rPr>
          <w:rFonts w:ascii="Times New Roman" w:cs="Times New Roman" w:eastAsia="Times New Roman" w:hAnsi="Times New Roman"/>
          <w:color w:val="000000"/>
          <w:sz w:val="24"/>
          <w:szCs w:val="24"/>
          <w:rtl w:val="0"/>
        </w:rPr>
        <w:t xml:space="preserve"> організації «Благодійний фонд «Стабілізейшен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уппорт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ервісез» щодо участі у тендері, на закупівлю </w:t>
      </w:r>
      <w:r w:rsidDel="00000000" w:rsidR="00000000" w:rsidRPr="00000000">
        <w:rPr>
          <w:rFonts w:ascii="Times New Roman" w:cs="Times New Roman" w:eastAsia="Times New Roman" w:hAnsi="Times New Roman"/>
          <w:b w:val="1"/>
          <w:sz w:val="24"/>
          <w:szCs w:val="24"/>
          <w:highlight w:val="white"/>
          <w:rtl w:val="0"/>
        </w:rPr>
        <w:t xml:space="preserve">послуг водіїв з авто для транспортування двох пересувних лазне-пральних комплексів на шасі</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5">
      <w:pPr>
        <w:widowControl w:val="0"/>
        <w:spacing w:after="0" w:before="0" w:line="26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Вивчивши тендерні вимоги Благодійної організації «Благодійний фонд «Стабілізейшен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уппорт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ервісез», підтверджую, що маю організаційну можливість та погоджуюсь надати товари у відповідь на пропозицію Благодійної організації «Благодійний фонд «Стабілізейшен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уппорт </w:t>
      </w:r>
      <w:r w:rsidDel="00000000" w:rsidR="00000000" w:rsidRPr="00000000">
        <w:rPr>
          <w:rFonts w:ascii="Times New Roman" w:cs="Times New Roman" w:eastAsia="Times New Roman" w:hAnsi="Times New Roman"/>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ервісез» відповідно до наступних умов/</w:t>
      </w:r>
    </w:p>
    <w:p w:rsidR="00000000" w:rsidDel="00000000" w:rsidP="00000000" w:rsidRDefault="00000000" w:rsidRPr="00000000" w14:paraId="00000006">
      <w:pPr>
        <w:widowControl w:val="0"/>
        <w:spacing w:after="0" w:before="0" w:line="266"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Proposal for the Charitable Organization «Charity foundation «Stabilization Support Services»</w:t>
      </w:r>
      <w:r w:rsidDel="00000000" w:rsidR="00000000" w:rsidRPr="00000000">
        <w:rPr>
          <w:rFonts w:ascii="Times New Roman" w:cs="Times New Roman" w:eastAsia="Times New Roman" w:hAnsi="Times New Roman"/>
          <w:b w:val="1"/>
          <w:color w:val="7f7f7f"/>
          <w:sz w:val="24"/>
          <w:szCs w:val="24"/>
          <w:rtl w:val="0"/>
        </w:rPr>
        <w:t xml:space="preserve">  </w:t>
      </w:r>
      <w:r w:rsidDel="00000000" w:rsidR="00000000" w:rsidRPr="00000000">
        <w:rPr>
          <w:rFonts w:ascii="Times New Roman" w:cs="Times New Roman" w:eastAsia="Times New Roman" w:hAnsi="Times New Roman"/>
          <w:color w:val="7f7f7f"/>
          <w:sz w:val="24"/>
          <w:szCs w:val="24"/>
          <w:rtl w:val="0"/>
        </w:rPr>
        <w:t xml:space="preserve"> to participate in the tender, for the purchase of </w:t>
      </w:r>
      <w:r w:rsidDel="00000000" w:rsidR="00000000" w:rsidRPr="00000000">
        <w:rPr>
          <w:rFonts w:ascii="Times New Roman" w:cs="Times New Roman" w:eastAsia="Times New Roman" w:hAnsi="Times New Roman"/>
          <w:b w:val="1"/>
          <w:color w:val="7f7f7f"/>
          <w:sz w:val="24"/>
          <w:szCs w:val="24"/>
          <w:rtl w:val="0"/>
        </w:rPr>
        <w:t xml:space="preserve">services of drivers with a car for transportation of two mobile bath and laundry complexes on a chassis .</w:t>
      </w:r>
      <w:r w:rsidDel="00000000" w:rsidR="00000000" w:rsidRPr="00000000">
        <w:rPr>
          <w:rtl w:val="0"/>
        </w:rPr>
      </w:r>
    </w:p>
    <w:p w:rsidR="00000000" w:rsidDel="00000000" w:rsidP="00000000" w:rsidRDefault="00000000" w:rsidRPr="00000000" w14:paraId="00000007">
      <w:pPr>
        <w:widowControl w:val="0"/>
        <w:spacing w:after="0" w:before="0" w:line="266"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Having studied the tender requirements of the Charitable Organization «Charity foundation «Stabilization Support Services», I confirm that I have the organizational capacity and agree to provide the goods in response to the offer of the Charitable Organization «Charity foundation «Stabilization Support Services»in accordance with the following conditions:</w:t>
      </w:r>
    </w:p>
    <w:p w:rsidR="00000000" w:rsidDel="00000000" w:rsidP="00000000" w:rsidRDefault="00000000" w:rsidRPr="00000000" w14:paraId="00000008">
      <w:pPr>
        <w:widowControl w:val="0"/>
        <w:spacing w:after="0" w:before="0" w:line="266" w:lineRule="auto"/>
        <w:jc w:val="left"/>
        <w:rPr>
          <w:rFonts w:ascii="Times New Roman" w:cs="Times New Roman" w:eastAsia="Times New Roman" w:hAnsi="Times New Roman"/>
          <w:color w:val="000000"/>
          <w:sz w:val="24"/>
          <w:szCs w:val="24"/>
        </w:rPr>
      </w:pPr>
      <w:r w:rsidDel="00000000" w:rsidR="00000000" w:rsidRPr="00000000">
        <w:rPr>
          <w:rtl w:val="0"/>
        </w:rPr>
      </w:r>
    </w:p>
    <w:tbl>
      <w:tblPr>
        <w:tblStyle w:val="Table1"/>
        <w:tblW w:w="992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5676"/>
        <w:gridCol w:w="4252"/>
        <w:tblGridChange w:id="0">
          <w:tblGrid>
            <w:gridCol w:w="5676"/>
            <w:gridCol w:w="4252"/>
          </w:tblGrid>
        </w:tblGridChange>
      </w:tblGrid>
      <w:tr>
        <w:trPr>
          <w:cantSplit w:val="0"/>
          <w:trHeight w:val="624" w:hRule="atLeast"/>
          <w:tblHeader w:val="0"/>
        </w:trPr>
        <w:tc>
          <w:tcPr>
            <w:gridSpan w:val="2"/>
            <w:shd w:fill="ddebf7" w:val="clear"/>
            <w:vAlign w:val="center"/>
          </w:tcPr>
          <w:p w:rsidR="00000000" w:rsidDel="00000000" w:rsidP="00000000" w:rsidRDefault="00000000" w:rsidRPr="00000000" w14:paraId="00000009">
            <w:pPr>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Інформація про компанію/учасника тендеру</w:t>
            </w:r>
          </w:p>
          <w:p w:rsidR="00000000" w:rsidDel="00000000" w:rsidP="00000000" w:rsidRDefault="00000000" w:rsidRPr="00000000" w14:paraId="0000000A">
            <w:pPr>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7f7f7f"/>
                <w:sz w:val="24"/>
                <w:szCs w:val="24"/>
                <w:rtl w:val="0"/>
              </w:rPr>
              <w:t xml:space="preserve">Information about the company / participant of the tender</w:t>
            </w:r>
            <w:r w:rsidDel="00000000" w:rsidR="00000000" w:rsidRPr="00000000">
              <w:rPr>
                <w:rtl w:val="0"/>
              </w:rPr>
            </w:r>
          </w:p>
        </w:tc>
      </w:tr>
      <w:tr>
        <w:trPr>
          <w:cantSplit w:val="0"/>
          <w:trHeight w:val="501" w:hRule="atLeast"/>
          <w:tblHeader w:val="0"/>
        </w:trPr>
        <w:tc>
          <w:tcPr>
            <w:shd w:fill="auto" w:val="clear"/>
            <w:vAlign w:val="bottom"/>
          </w:tcPr>
          <w:p w:rsidR="00000000" w:rsidDel="00000000" w:rsidP="00000000" w:rsidRDefault="00000000" w:rsidRPr="00000000" w14:paraId="0000000C">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Назва компанії:</w:t>
            </w:r>
          </w:p>
          <w:p w:rsidR="00000000" w:rsidDel="00000000" w:rsidP="00000000" w:rsidRDefault="00000000" w:rsidRPr="00000000" w14:paraId="0000000D">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Name of the company:</w:t>
            </w:r>
            <w:r w:rsidDel="00000000" w:rsidR="00000000" w:rsidRPr="00000000">
              <w:rPr>
                <w:rtl w:val="0"/>
              </w:rPr>
            </w:r>
          </w:p>
        </w:tc>
        <w:tc>
          <w:tcPr>
            <w:shd w:fill="auto" w:val="clear"/>
            <w:vAlign w:val="bottom"/>
          </w:tcPr>
          <w:p w:rsidR="00000000" w:rsidDel="00000000" w:rsidP="00000000" w:rsidRDefault="00000000" w:rsidRPr="00000000" w14:paraId="0000000E">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01" w:hRule="atLeast"/>
          <w:tblHeader w:val="0"/>
        </w:trPr>
        <w:tc>
          <w:tcPr>
            <w:shd w:fill="auto" w:val="clear"/>
            <w:vAlign w:val="bottom"/>
          </w:tcPr>
          <w:p w:rsidR="00000000" w:rsidDel="00000000" w:rsidP="00000000" w:rsidRDefault="00000000" w:rsidRPr="00000000" w14:paraId="0000000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Ім'я представника компанії:</w:t>
            </w:r>
          </w:p>
          <w:p w:rsidR="00000000" w:rsidDel="00000000" w:rsidP="00000000" w:rsidRDefault="00000000" w:rsidRPr="00000000" w14:paraId="00000010">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Name of the company representative:</w:t>
            </w:r>
            <w:r w:rsidDel="00000000" w:rsidR="00000000" w:rsidRPr="00000000">
              <w:rPr>
                <w:rtl w:val="0"/>
              </w:rPr>
            </w:r>
          </w:p>
        </w:tc>
        <w:tc>
          <w:tcPr>
            <w:shd w:fill="auto" w:val="clear"/>
            <w:vAlign w:val="bottom"/>
          </w:tcPr>
          <w:p w:rsidR="00000000" w:rsidDel="00000000" w:rsidP="00000000" w:rsidRDefault="00000000" w:rsidRPr="00000000" w14:paraId="00000011">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01" w:hRule="atLeast"/>
          <w:tblHeader w:val="0"/>
        </w:trPr>
        <w:tc>
          <w:tcPr>
            <w:shd w:fill="auto" w:val="clear"/>
            <w:vAlign w:val="bottom"/>
          </w:tcPr>
          <w:p w:rsidR="00000000" w:rsidDel="00000000" w:rsidP="00000000" w:rsidRDefault="00000000" w:rsidRPr="00000000" w14:paraId="00000012">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Адреса компанії:</w:t>
            </w:r>
          </w:p>
          <w:p w:rsidR="00000000" w:rsidDel="00000000" w:rsidP="00000000" w:rsidRDefault="00000000" w:rsidRPr="00000000" w14:paraId="0000001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Company address:</w:t>
            </w:r>
            <w:r w:rsidDel="00000000" w:rsidR="00000000" w:rsidRPr="00000000">
              <w:rPr>
                <w:rtl w:val="0"/>
              </w:rPr>
            </w:r>
          </w:p>
        </w:tc>
        <w:tc>
          <w:tcPr>
            <w:shd w:fill="auto" w:val="clear"/>
            <w:vAlign w:val="bottom"/>
          </w:tcPr>
          <w:p w:rsidR="00000000" w:rsidDel="00000000" w:rsidP="00000000" w:rsidRDefault="00000000" w:rsidRPr="00000000" w14:paraId="00000014">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01" w:hRule="atLeast"/>
          <w:tblHeader w:val="0"/>
        </w:trPr>
        <w:tc>
          <w:tcPr>
            <w:shd w:fill="auto" w:val="clear"/>
            <w:vAlign w:val="bottom"/>
          </w:tcPr>
          <w:p w:rsidR="00000000" w:rsidDel="00000000" w:rsidP="00000000" w:rsidRDefault="00000000" w:rsidRPr="00000000" w14:paraId="00000015">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Контактний номер телефону:</w:t>
            </w:r>
          </w:p>
          <w:p w:rsidR="00000000" w:rsidDel="00000000" w:rsidP="00000000" w:rsidRDefault="00000000" w:rsidRPr="00000000" w14:paraId="00000016">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Contact phone number:</w:t>
            </w:r>
            <w:r w:rsidDel="00000000" w:rsidR="00000000" w:rsidRPr="00000000">
              <w:rPr>
                <w:rtl w:val="0"/>
              </w:rPr>
            </w:r>
          </w:p>
        </w:tc>
        <w:tc>
          <w:tcPr>
            <w:shd w:fill="auto" w:val="clear"/>
            <w:vAlign w:val="bottom"/>
          </w:tcPr>
          <w:p w:rsidR="00000000" w:rsidDel="00000000" w:rsidP="00000000" w:rsidRDefault="00000000" w:rsidRPr="00000000" w14:paraId="00000017">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01" w:hRule="atLeast"/>
          <w:tblHeader w:val="0"/>
        </w:trPr>
        <w:tc>
          <w:tcPr>
            <w:shd w:fill="auto" w:val="clear"/>
            <w:vAlign w:val="bottom"/>
          </w:tcPr>
          <w:p w:rsidR="00000000" w:rsidDel="00000000" w:rsidP="00000000" w:rsidRDefault="00000000" w:rsidRPr="00000000" w14:paraId="00000018">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w:t>
            </w:r>
          </w:p>
          <w:p w:rsidR="00000000" w:rsidDel="00000000" w:rsidP="00000000" w:rsidRDefault="00000000" w:rsidRPr="00000000" w14:paraId="00000019">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Email:</w:t>
            </w:r>
            <w:r w:rsidDel="00000000" w:rsidR="00000000" w:rsidRPr="00000000">
              <w:rPr>
                <w:rtl w:val="0"/>
              </w:rPr>
            </w:r>
          </w:p>
        </w:tc>
        <w:tc>
          <w:tcPr>
            <w:shd w:fill="auto" w:val="clear"/>
            <w:vAlign w:val="bottom"/>
          </w:tcPr>
          <w:p w:rsidR="00000000" w:rsidDel="00000000" w:rsidP="00000000" w:rsidRDefault="00000000" w:rsidRPr="00000000" w14:paraId="0000001A">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01" w:hRule="atLeast"/>
          <w:tblHeader w:val="0"/>
        </w:trPr>
        <w:tc>
          <w:tcPr>
            <w:shd w:fill="auto" w:val="clear"/>
            <w:vAlign w:val="bottom"/>
          </w:tcPr>
          <w:p w:rsidR="00000000" w:rsidDel="00000000" w:rsidP="00000000" w:rsidRDefault="00000000" w:rsidRPr="00000000" w14:paraId="0000001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Термін дії пропозиції:</w:t>
            </w:r>
          </w:p>
          <w:p w:rsidR="00000000" w:rsidDel="00000000" w:rsidP="00000000" w:rsidRDefault="00000000" w:rsidRPr="00000000" w14:paraId="0000001C">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Offer validity period:</w:t>
            </w:r>
            <w:r w:rsidDel="00000000" w:rsidR="00000000" w:rsidRPr="00000000">
              <w:rPr>
                <w:rtl w:val="0"/>
              </w:rPr>
            </w:r>
          </w:p>
        </w:tc>
        <w:tc>
          <w:tcPr>
            <w:shd w:fill="auto" w:val="clear"/>
            <w:vAlign w:val="bottom"/>
          </w:tcPr>
          <w:p w:rsidR="00000000" w:rsidDel="00000000" w:rsidP="00000000" w:rsidRDefault="00000000" w:rsidRPr="00000000" w14:paraId="0000001D">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01" w:hRule="atLeast"/>
          <w:tblHeader w:val="0"/>
        </w:trPr>
        <w:tc>
          <w:tcPr>
            <w:shd w:fill="auto" w:val="clear"/>
            <w:vAlign w:val="bottom"/>
          </w:tcPr>
          <w:p w:rsidR="00000000" w:rsidDel="00000000" w:rsidP="00000000" w:rsidRDefault="00000000" w:rsidRPr="00000000" w14:paraId="0000001E">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Термін поставки:</w:t>
            </w:r>
          </w:p>
          <w:p w:rsidR="00000000" w:rsidDel="00000000" w:rsidP="00000000" w:rsidRDefault="00000000" w:rsidRPr="00000000" w14:paraId="0000001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Delivery time:</w:t>
            </w:r>
            <w:r w:rsidDel="00000000" w:rsidR="00000000" w:rsidRPr="00000000">
              <w:rPr>
                <w:rtl w:val="0"/>
              </w:rPr>
            </w:r>
          </w:p>
        </w:tc>
        <w:tc>
          <w:tcPr>
            <w:shd w:fill="auto" w:val="clear"/>
            <w:vAlign w:val="bottom"/>
          </w:tcPr>
          <w:p w:rsidR="00000000" w:rsidDel="00000000" w:rsidP="00000000" w:rsidRDefault="00000000" w:rsidRPr="00000000" w14:paraId="00000020">
            <w:pPr>
              <w:spacing w:after="0" w:before="0" w:line="240" w:lineRule="auto"/>
              <w:jc w:val="center"/>
              <w:rPr>
                <w:rFonts w:ascii="Times New Roman" w:cs="Times New Roman" w:eastAsia="Times New Roman" w:hAnsi="Times New Roman"/>
                <w:i w:val="1"/>
                <w:color w:val="000000"/>
                <w:sz w:val="24"/>
                <w:szCs w:val="24"/>
              </w:rPr>
            </w:pPr>
            <w:r w:rsidDel="00000000" w:rsidR="00000000" w:rsidRPr="00000000">
              <w:rPr>
                <w:rtl w:val="0"/>
              </w:rPr>
            </w:r>
          </w:p>
        </w:tc>
      </w:tr>
      <w:tr>
        <w:trPr>
          <w:cantSplit w:val="0"/>
          <w:trHeight w:val="501" w:hRule="atLeast"/>
          <w:tblHeader w:val="0"/>
        </w:trPr>
        <w:tc>
          <w:tcPr>
            <w:shd w:fill="auto" w:val="clear"/>
            <w:vAlign w:val="bottom"/>
          </w:tcPr>
          <w:p w:rsidR="00000000" w:rsidDel="00000000" w:rsidP="00000000" w:rsidRDefault="00000000" w:rsidRPr="00000000" w14:paraId="00000021">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Умови оплати:</w:t>
            </w:r>
          </w:p>
          <w:p w:rsidR="00000000" w:rsidDel="00000000" w:rsidP="00000000" w:rsidRDefault="00000000" w:rsidRPr="00000000" w14:paraId="00000022">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Payment conditions:</w:t>
            </w:r>
            <w:r w:rsidDel="00000000" w:rsidR="00000000" w:rsidRPr="00000000">
              <w:rPr>
                <w:rtl w:val="0"/>
              </w:rPr>
            </w:r>
          </w:p>
        </w:tc>
        <w:tc>
          <w:tcPr>
            <w:shd w:fill="auto" w:val="clear"/>
            <w:vAlign w:val="bottom"/>
          </w:tcPr>
          <w:p w:rsidR="00000000" w:rsidDel="00000000" w:rsidP="00000000" w:rsidRDefault="00000000" w:rsidRPr="00000000" w14:paraId="00000023">
            <w:pPr>
              <w:spacing w:after="0" w:before="0" w:line="240" w:lineRule="auto"/>
              <w:jc w:val="center"/>
              <w:rPr>
                <w:rFonts w:ascii="Times New Roman" w:cs="Times New Roman" w:eastAsia="Times New Roman" w:hAnsi="Times New Roman"/>
                <w:i w:val="1"/>
                <w:color w:val="000000"/>
                <w:sz w:val="24"/>
                <w:szCs w:val="24"/>
              </w:rPr>
            </w:pPr>
            <w:r w:rsidDel="00000000" w:rsidR="00000000" w:rsidRPr="00000000">
              <w:rPr>
                <w:rtl w:val="0"/>
              </w:rPr>
            </w:r>
          </w:p>
        </w:tc>
      </w:tr>
      <w:tr>
        <w:trPr>
          <w:cantSplit w:val="0"/>
          <w:trHeight w:val="501" w:hRule="atLeast"/>
          <w:tblHeader w:val="0"/>
        </w:trPr>
        <w:tc>
          <w:tcPr>
            <w:shd w:fill="auto" w:val="clear"/>
            <w:vAlign w:val="bottom"/>
          </w:tcPr>
          <w:p w:rsidR="00000000" w:rsidDel="00000000" w:rsidP="00000000" w:rsidRDefault="00000000" w:rsidRPr="00000000" w14:paraId="00000024">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Електронна пошта для здійснення документообігу за допомогою електронного сервісу «Вчасно»</w:t>
            </w:r>
          </w:p>
          <w:p w:rsidR="00000000" w:rsidDel="00000000" w:rsidP="00000000" w:rsidRDefault="00000000" w:rsidRPr="00000000" w14:paraId="00000025">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E-mail for document management using the “Vchasno” electronic service</w:t>
            </w:r>
            <w:r w:rsidDel="00000000" w:rsidR="00000000" w:rsidRPr="00000000">
              <w:rPr>
                <w:rtl w:val="0"/>
              </w:rPr>
            </w:r>
          </w:p>
        </w:tc>
        <w:tc>
          <w:tcPr>
            <w:shd w:fill="auto" w:val="clear"/>
            <w:vAlign w:val="bottom"/>
          </w:tcPr>
          <w:p w:rsidR="00000000" w:rsidDel="00000000" w:rsidP="00000000" w:rsidRDefault="00000000" w:rsidRPr="00000000" w14:paraId="00000026">
            <w:pPr>
              <w:spacing w:after="0" w:before="0" w:line="240" w:lineRule="auto"/>
              <w:jc w:val="lef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Вказати електронну пошту (якщо є)</w:t>
            </w:r>
          </w:p>
          <w:p w:rsidR="00000000" w:rsidDel="00000000" w:rsidP="00000000" w:rsidRDefault="00000000" w:rsidRPr="00000000" w14:paraId="00000027">
            <w:pPr>
              <w:spacing w:after="0" w:before="0" w:line="240" w:lineRule="auto"/>
              <w:jc w:val="left"/>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Enter your email address (if applicable)</w:t>
            </w:r>
          </w:p>
          <w:p w:rsidR="00000000" w:rsidDel="00000000" w:rsidP="00000000" w:rsidRDefault="00000000" w:rsidRPr="00000000" w14:paraId="00000028">
            <w:pPr>
              <w:spacing w:after="0" w:before="0" w:line="240" w:lineRule="auto"/>
              <w:jc w:val="left"/>
              <w:rPr>
                <w:rFonts w:ascii="Times New Roman" w:cs="Times New Roman" w:eastAsia="Times New Roman" w:hAnsi="Times New Roman"/>
                <w:i w:val="1"/>
                <w:color w:val="000000"/>
                <w:sz w:val="24"/>
                <w:szCs w:val="24"/>
              </w:rPr>
            </w:pPr>
            <w:r w:rsidDel="00000000" w:rsidR="00000000" w:rsidRPr="00000000">
              <w:rPr>
                <w:rtl w:val="0"/>
              </w:rPr>
            </w:r>
          </w:p>
        </w:tc>
      </w:tr>
      <w:tr>
        <w:trPr>
          <w:cantSplit w:val="0"/>
          <w:trHeight w:val="501" w:hRule="atLeast"/>
          <w:tblHeader w:val="0"/>
        </w:trPr>
        <w:tc>
          <w:tcPr>
            <w:shd w:fill="auto" w:val="clear"/>
            <w:vAlign w:val="bottom"/>
          </w:tcPr>
          <w:p w:rsidR="00000000" w:rsidDel="00000000" w:rsidP="00000000" w:rsidRDefault="00000000" w:rsidRPr="00000000" w14:paraId="00000029">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банківського рахунку:</w:t>
            </w:r>
          </w:p>
          <w:p w:rsidR="00000000" w:rsidDel="00000000" w:rsidP="00000000" w:rsidRDefault="00000000" w:rsidRPr="00000000" w14:paraId="0000002A">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Bank account number:</w:t>
            </w:r>
            <w:r w:rsidDel="00000000" w:rsidR="00000000" w:rsidRPr="00000000">
              <w:rPr>
                <w:rtl w:val="0"/>
              </w:rPr>
            </w:r>
          </w:p>
        </w:tc>
        <w:tc>
          <w:tcPr>
            <w:shd w:fill="auto" w:val="clear"/>
            <w:vAlign w:val="bottom"/>
          </w:tcPr>
          <w:p w:rsidR="00000000" w:rsidDel="00000000" w:rsidP="00000000" w:rsidRDefault="00000000" w:rsidRPr="00000000" w14:paraId="0000002B">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01" w:hRule="atLeast"/>
          <w:tblHeader w:val="0"/>
        </w:trPr>
        <w:tc>
          <w:tcPr>
            <w:shd w:fill="auto" w:val="clear"/>
            <w:vAlign w:val="bottom"/>
          </w:tcPr>
          <w:p w:rsidR="00000000" w:rsidDel="00000000" w:rsidP="00000000" w:rsidRDefault="00000000" w:rsidRPr="00000000" w14:paraId="0000002C">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Штамп та підпис компанії:</w:t>
            </w:r>
          </w:p>
          <w:p w:rsidR="00000000" w:rsidDel="00000000" w:rsidP="00000000" w:rsidRDefault="00000000" w:rsidRPr="00000000" w14:paraId="0000002D">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Company seal and signature:</w:t>
            </w:r>
            <w:r w:rsidDel="00000000" w:rsidR="00000000" w:rsidRPr="00000000">
              <w:rPr>
                <w:rtl w:val="0"/>
              </w:rPr>
            </w:r>
          </w:p>
        </w:tc>
        <w:tc>
          <w:tcPr>
            <w:shd w:fill="auto" w:val="clear"/>
            <w:vAlign w:val="bottom"/>
          </w:tcPr>
          <w:p w:rsidR="00000000" w:rsidDel="00000000" w:rsidP="00000000" w:rsidRDefault="00000000" w:rsidRPr="00000000" w14:paraId="0000002E">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501" w:hRule="atLeast"/>
          <w:tblHeader w:val="0"/>
        </w:trPr>
        <w:tc>
          <w:tcPr>
            <w:shd w:fill="auto" w:val="clear"/>
            <w:vAlign w:val="bottom"/>
          </w:tcPr>
          <w:p w:rsidR="00000000" w:rsidDel="00000000" w:rsidP="00000000" w:rsidRDefault="00000000" w:rsidRPr="00000000" w14:paraId="0000002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Дата:</w:t>
            </w:r>
          </w:p>
          <w:p w:rsidR="00000000" w:rsidDel="00000000" w:rsidP="00000000" w:rsidRDefault="00000000" w:rsidRPr="00000000" w14:paraId="00000030">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7f7f7f"/>
                <w:sz w:val="24"/>
                <w:szCs w:val="24"/>
                <w:rtl w:val="0"/>
              </w:rPr>
              <w:t xml:space="preserve">Date:</w:t>
            </w:r>
            <w:r w:rsidDel="00000000" w:rsidR="00000000" w:rsidRPr="00000000">
              <w:rPr>
                <w:rtl w:val="0"/>
              </w:rPr>
            </w:r>
          </w:p>
        </w:tc>
        <w:tc>
          <w:tcPr>
            <w:shd w:fill="auto" w:val="clear"/>
            <w:vAlign w:val="bottom"/>
          </w:tcPr>
          <w:p w:rsidR="00000000" w:rsidDel="00000000" w:rsidP="00000000" w:rsidRDefault="00000000" w:rsidRPr="00000000" w14:paraId="00000031">
            <w:pPr>
              <w:spacing w:after="0" w:before="0" w:line="240" w:lineRule="auto"/>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32">
      <w:pPr>
        <w:widowControl w:val="0"/>
        <w:spacing w:after="0" w:before="0" w:line="266" w:lineRule="auto"/>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widowControl w:val="0"/>
        <w:spacing w:after="0" w:before="0" w:line="26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До цієї пропозиції додається/</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This proposal is attached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34">
      <w:pPr>
        <w:widowControl w:val="0"/>
        <w:spacing w:after="0" w:before="0" w:line="26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numPr>
          <w:ilvl w:val="0"/>
          <w:numId w:val="1"/>
        </w:numPr>
        <w:spacing w:after="0" w:before="0" w:line="276" w:lineRule="auto"/>
        <w:ind w:left="720" w:hanging="360"/>
        <w:jc w:val="lef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Копія Витягу з Єдиного державного реєстру юридичних осіб, фізичних осіб – підприємців, що містить дані про останні реєстраційні дії (дата видачі Витягу не повинна перевищувати 120 днів до дати подання документа)/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 copy of the extract from the Unified State Register of Legal Entities, Individual Entrepreneurs, containing data on the latest registration actions (the date of issue of the extract should not exceed 120 days before the date of submission of the document).</w:t>
      </w:r>
    </w:p>
    <w:p w:rsidR="00000000" w:rsidDel="00000000" w:rsidP="00000000" w:rsidRDefault="00000000" w:rsidRPr="00000000" w14:paraId="00000036">
      <w:pPr>
        <w:widowControl w:val="0"/>
        <w:numPr>
          <w:ilvl w:val="0"/>
          <w:numId w:val="1"/>
        </w:numPr>
        <w:pBdr>
          <w:top w:space="0" w:sz="0" w:val="nil"/>
          <w:left w:space="0" w:sz="0" w:val="nil"/>
          <w:bottom w:space="0" w:sz="0" w:val="nil"/>
          <w:right w:space="0" w:sz="0" w:val="nil"/>
          <w:between w:space="0" w:sz="0" w:val="nil"/>
        </w:pBdr>
        <w:spacing w:after="0" w:before="0" w:line="266" w:lineRule="auto"/>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Копія Витягу/Свідоцтва з реєстру платників податків (дата видачі Витягу/Свідоцтва не повинна перевищувати 120 днів до дати подання документа)/</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A copy of the Extract/Certificate from the Taxpayer Register (the date of issue of the Extract/Certificate should not exceed 120 days prior to the date of submission of the document).</w:t>
      </w:r>
      <w:r w:rsidDel="00000000" w:rsidR="00000000" w:rsidRPr="00000000">
        <w:rPr>
          <w:rtl w:val="0"/>
        </w:rPr>
      </w:r>
    </w:p>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spacing w:after="0" w:before="0" w:line="266" w:lineRule="auto"/>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Довідка про відкриття банківського рахунку/</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Certificate of opening a bank account.</w:t>
      </w:r>
      <w:r w:rsidDel="00000000" w:rsidR="00000000" w:rsidRPr="00000000">
        <w:rPr>
          <w:rtl w:val="0"/>
        </w:rPr>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spacing w:after="0" w:before="0" w:line="266" w:lineRule="auto"/>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Технічна специфікація з характеристиками та фото до запропонованих товарів: Додаток Б/</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Technical specification with characteristics and photos of the offered goods: Annex B.</w:t>
      </w:r>
      <w:r w:rsidDel="00000000" w:rsidR="00000000" w:rsidRPr="00000000">
        <w:rPr>
          <w:rtl w:val="0"/>
        </w:rPr>
      </w:r>
    </w:p>
    <w:p w:rsidR="00000000" w:rsidDel="00000000" w:rsidP="00000000" w:rsidRDefault="00000000" w:rsidRPr="00000000" w14:paraId="00000039">
      <w:pPr>
        <w:widowControl w:val="0"/>
        <w:numPr>
          <w:ilvl w:val="0"/>
          <w:numId w:val="1"/>
        </w:numPr>
        <w:pBdr>
          <w:top w:space="0" w:sz="0" w:val="nil"/>
          <w:left w:space="0" w:sz="0" w:val="nil"/>
          <w:bottom w:space="0" w:sz="0" w:val="nil"/>
          <w:right w:space="0" w:sz="0" w:val="nil"/>
          <w:between w:space="0" w:sz="0" w:val="nil"/>
        </w:pBdr>
        <w:spacing w:after="0" w:before="0" w:line="266" w:lineRule="auto"/>
        <w:ind w:left="720" w:hanging="360"/>
        <w:jc w:val="lef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sz w:val="24"/>
          <w:szCs w:val="24"/>
          <w:rtl w:val="0"/>
        </w:rPr>
        <w:t xml:space="preserve">Фінансова пропозиція: Додаток В/</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Financial proposal: Annex С.</w:t>
      </w:r>
    </w:p>
    <w:p w:rsidR="00000000" w:rsidDel="00000000" w:rsidP="00000000" w:rsidRDefault="00000000" w:rsidRPr="00000000" w14:paraId="0000003A">
      <w:pPr>
        <w:widowControl w:val="0"/>
        <w:numPr>
          <w:ilvl w:val="0"/>
          <w:numId w:val="1"/>
        </w:numPr>
        <w:pBdr>
          <w:top w:space="0" w:sz="0" w:val="nil"/>
          <w:left w:space="0" w:sz="0" w:val="nil"/>
          <w:bottom w:space="0" w:sz="0" w:val="nil"/>
          <w:right w:space="0" w:sz="0" w:val="nil"/>
          <w:between w:space="0" w:sz="0" w:val="nil"/>
        </w:pBdr>
        <w:spacing w:after="0" w:before="0" w:line="266" w:lineRule="auto"/>
        <w:ind w:left="720" w:hanging="36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Аналогічні договори постачання відповідних товарів і/або рекомендаційні листи (не старше 2 років)/</w:t>
      </w:r>
      <w:r w:rsidDel="00000000" w:rsidR="00000000" w:rsidRPr="00000000">
        <w:rPr>
          <w:rtl w:val="0"/>
        </w:rPr>
        <w:t xml:space="preserve"> </w:t>
      </w:r>
      <w:r w:rsidDel="00000000" w:rsidR="00000000" w:rsidRPr="00000000">
        <w:rPr>
          <w:rFonts w:ascii="Times New Roman" w:cs="Times New Roman" w:eastAsia="Times New Roman" w:hAnsi="Times New Roman"/>
          <w:color w:val="7f7f7f"/>
          <w:sz w:val="24"/>
          <w:szCs w:val="24"/>
          <w:rtl w:val="0"/>
        </w:rPr>
        <w:t xml:space="preserve">Similar contracts for the supply of relevant goods and/or letters of recommendation </w:t>
      </w:r>
      <w:r w:rsidDel="00000000" w:rsidR="00000000" w:rsidRPr="00000000">
        <w:rPr>
          <w:rFonts w:ascii="Times New Roman" w:cs="Times New Roman" w:eastAsia="Times New Roman" w:hAnsi="Times New Roman"/>
          <w:color w:val="999999"/>
          <w:sz w:val="24"/>
          <w:szCs w:val="24"/>
          <w:rtl w:val="0"/>
        </w:rPr>
        <w:t xml:space="preserve"> (not older than 2 years).</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before="0" w:line="266" w:lineRule="auto"/>
        <w:ind w:lef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before="0" w:line="266" w:lineRule="auto"/>
        <w:ind w:left="36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spacing w:after="0" w:lineRule="auto"/>
        <w:ind w:firstLine="709"/>
        <w:rPr/>
      </w:pPr>
      <w:r w:rsidDel="00000000" w:rsidR="00000000" w:rsidRPr="00000000">
        <w:rPr>
          <w:rtl w:val="0"/>
        </w:rPr>
      </w:r>
    </w:p>
    <w:sectPr>
      <w:pgSz w:h="16838" w:w="11906" w:orient="portrait"/>
      <w:pgMar w:bottom="1134" w:top="1134"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40" w:before="12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38C5"/>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Grid">
    <w:name w:val="Table Grid"/>
    <w:basedOn w:val="TableNormal"/>
    <w:uiPriority w:val="39"/>
    <w:rsid w:val="00BF38C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F38C5"/>
    <w:pPr>
      <w:ind w:left="720"/>
      <w:contextualSpacing w:val="1"/>
    </w:p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15.0" w:type="dxa"/>
        <w:right w:w="115.0" w:type="dxa"/>
      </w:tblCellMar>
    </w:tblPr>
  </w:style>
  <w:style w:type="table" w:styleId="a0" w:customStyle="1">
    <w:basedOn w:val="TableNormal5"/>
    <w:tblPr>
      <w:tblStyleRowBandSize w:val="1"/>
      <w:tblStyleColBandSize w:val="1"/>
      <w:tblCellMar>
        <w:left w:w="115.0" w:type="dxa"/>
        <w:right w:w="115.0" w:type="dxa"/>
      </w:tblCellMar>
    </w:tblPr>
  </w:style>
  <w:style w:type="table" w:styleId="a1" w:customStyle="1">
    <w:basedOn w:val="TableNormal4"/>
    <w:tblPr>
      <w:tblStyleRowBandSize w:val="1"/>
      <w:tblStyleColBandSize w:val="1"/>
      <w:tblCellMar>
        <w:left w:w="115.0" w:type="dxa"/>
        <w:right w:w="115.0" w:type="dxa"/>
      </w:tblCellMar>
    </w:tblPr>
  </w:style>
  <w:style w:type="table" w:styleId="a2" w:customStyle="1">
    <w:basedOn w:val="TableNormal4"/>
    <w:tblPr>
      <w:tblStyleRowBandSize w:val="1"/>
      <w:tblStyleColBandSize w:val="1"/>
      <w:tblCellMar>
        <w:left w:w="115.0" w:type="dxa"/>
        <w:right w:w="115.0" w:type="dxa"/>
      </w:tblCellMar>
    </w:tblPr>
  </w:style>
  <w:style w:type="table" w:styleId="a3" w:customStyle="1">
    <w:basedOn w:val="TableNormal2"/>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FA51C6"/>
    <w:rPr>
      <w:sz w:val="16"/>
      <w:szCs w:val="16"/>
    </w:rPr>
  </w:style>
  <w:style w:type="paragraph" w:styleId="CommentText">
    <w:name w:val="annotation text"/>
    <w:basedOn w:val="Normal"/>
    <w:link w:val="CommentTextChar"/>
    <w:uiPriority w:val="99"/>
    <w:semiHidden w:val="1"/>
    <w:unhideWhenUsed w:val="1"/>
    <w:rsid w:val="00FA51C6"/>
    <w:pPr>
      <w:spacing w:line="240" w:lineRule="auto"/>
    </w:pPr>
    <w:rPr>
      <w:sz w:val="20"/>
      <w:szCs w:val="20"/>
    </w:rPr>
  </w:style>
  <w:style w:type="character" w:styleId="CommentTextChar" w:customStyle="1">
    <w:name w:val="Comment Text Char"/>
    <w:basedOn w:val="DefaultParagraphFont"/>
    <w:link w:val="CommentText"/>
    <w:uiPriority w:val="99"/>
    <w:semiHidden w:val="1"/>
    <w:rsid w:val="00FA51C6"/>
    <w:rPr>
      <w:rFonts w:eastAsiaTheme="minorEastAsia"/>
      <w:sz w:val="20"/>
      <w:szCs w:val="20"/>
    </w:rPr>
  </w:style>
  <w:style w:type="paragraph" w:styleId="CommentSubject">
    <w:name w:val="annotation subject"/>
    <w:basedOn w:val="CommentText"/>
    <w:next w:val="CommentText"/>
    <w:link w:val="CommentSubjectChar"/>
    <w:uiPriority w:val="99"/>
    <w:semiHidden w:val="1"/>
    <w:unhideWhenUsed w:val="1"/>
    <w:rsid w:val="00FA51C6"/>
    <w:rPr>
      <w:b w:val="1"/>
      <w:bCs w:val="1"/>
    </w:rPr>
  </w:style>
  <w:style w:type="character" w:styleId="CommentSubjectChar" w:customStyle="1">
    <w:name w:val="Comment Subject Char"/>
    <w:basedOn w:val="CommentTextChar"/>
    <w:link w:val="CommentSubject"/>
    <w:uiPriority w:val="99"/>
    <w:semiHidden w:val="1"/>
    <w:rsid w:val="00FA51C6"/>
    <w:rPr>
      <w:rFonts w:eastAsiaTheme="minorEastAsia"/>
      <w:b w:val="1"/>
      <w:bCs w:val="1"/>
      <w:sz w:val="20"/>
      <w:szCs w:val="20"/>
    </w:rPr>
  </w:style>
  <w:style w:type="paragraph" w:styleId="BalloonText">
    <w:name w:val="Balloon Text"/>
    <w:basedOn w:val="Normal"/>
    <w:link w:val="BalloonTextChar"/>
    <w:uiPriority w:val="99"/>
    <w:semiHidden w:val="1"/>
    <w:unhideWhenUsed w:val="1"/>
    <w:rsid w:val="00FA51C6"/>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A51C6"/>
    <w:rPr>
      <w:rFonts w:ascii="Segoe UI" w:cs="Segoe UI" w:hAnsi="Segoe UI" w:eastAsiaTheme="minorEastAsia"/>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CRK+rIwssZZFbll0eOR4yr8MQ==">CgMxLjA4AHIhMVlZZW5EOWZQY0JNdW5hQ2JISC1GVVBRRU13alRDdHhB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2024-09-23T10:10:00Z</dcterms:created>
  <dc:creator>Юлия Волошина</dc:creator>
</cp:coreProperties>
</file>